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CD" w:rsidRPr="00AD7F2D" w:rsidRDefault="002E4A02" w:rsidP="008F636D">
      <w:pPr>
        <w:jc w:val="both"/>
        <w:rPr>
          <w:rFonts w:ascii="Calibri" w:hAnsi="Calibri"/>
          <w:b/>
        </w:rPr>
      </w:pPr>
      <w:r>
        <w:t xml:space="preserve"> </w:t>
      </w:r>
      <w:r w:rsidR="00E927CD">
        <w:tab/>
      </w:r>
      <w:r w:rsidR="00E927CD">
        <w:tab/>
      </w:r>
      <w:r w:rsidR="00E927CD">
        <w:tab/>
      </w:r>
      <w:r w:rsidR="00E927CD">
        <w:tab/>
      </w:r>
      <w:r w:rsidR="00E927CD">
        <w:tab/>
      </w:r>
      <w:r w:rsidR="00E927CD">
        <w:tab/>
      </w:r>
      <w:r w:rsidR="00E927CD">
        <w:tab/>
      </w:r>
    </w:p>
    <w:p w:rsidR="008F636D" w:rsidRDefault="002E4A02" w:rsidP="008F636D">
      <w:pPr>
        <w:pStyle w:val="Default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F636D">
        <w:rPr>
          <w:b/>
          <w:u w:val="single"/>
        </w:rPr>
        <w:t xml:space="preserve">Do wiadomości </w:t>
      </w:r>
    </w:p>
    <w:p w:rsidR="008F636D" w:rsidRDefault="008F636D" w:rsidP="008F636D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wszyscy uczestnicy postępowania</w:t>
      </w:r>
    </w:p>
    <w:p w:rsidR="00E927CD" w:rsidRDefault="00E927CD" w:rsidP="00E927CD">
      <w:pPr>
        <w:jc w:val="both"/>
      </w:pPr>
    </w:p>
    <w:p w:rsidR="00E927CD" w:rsidRDefault="00E927CD" w:rsidP="00E927CD">
      <w:pPr>
        <w:jc w:val="both"/>
      </w:pPr>
    </w:p>
    <w:p w:rsidR="00E927CD" w:rsidRPr="00977E83" w:rsidRDefault="00F54898" w:rsidP="00E927C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Znak: GK 271.1.9</w:t>
      </w:r>
      <w:r w:rsidR="00674023" w:rsidRPr="00977E83">
        <w:rPr>
          <w:rFonts w:ascii="Calibri" w:hAnsi="Calibri"/>
          <w:sz w:val="22"/>
          <w:szCs w:val="22"/>
        </w:rPr>
        <w:t>.2012</w:t>
      </w:r>
      <w:r w:rsidR="00E927CD" w:rsidRPr="00977E83">
        <w:rPr>
          <w:rFonts w:ascii="Calibri" w:hAnsi="Calibri"/>
          <w:sz w:val="22"/>
          <w:szCs w:val="22"/>
        </w:rPr>
        <w:t xml:space="preserve">                 </w:t>
      </w:r>
      <w:r w:rsidR="0032098F" w:rsidRPr="00977E83">
        <w:rPr>
          <w:rFonts w:ascii="Calibri" w:hAnsi="Calibri"/>
          <w:sz w:val="22"/>
          <w:szCs w:val="22"/>
        </w:rPr>
        <w:t xml:space="preserve">           </w:t>
      </w:r>
      <w:r w:rsidR="0032098F" w:rsidRPr="00977E83">
        <w:rPr>
          <w:rFonts w:ascii="Calibri" w:hAnsi="Calibri"/>
          <w:sz w:val="22"/>
          <w:szCs w:val="22"/>
        </w:rPr>
        <w:tab/>
      </w:r>
      <w:r w:rsidR="0032098F" w:rsidRPr="00977E83">
        <w:rPr>
          <w:rFonts w:ascii="Calibri" w:hAnsi="Calibri"/>
          <w:sz w:val="22"/>
          <w:szCs w:val="22"/>
        </w:rPr>
        <w:tab/>
      </w:r>
      <w:r w:rsidR="0032098F" w:rsidRPr="00977E83">
        <w:rPr>
          <w:rFonts w:ascii="Calibri" w:hAnsi="Calibri"/>
          <w:sz w:val="22"/>
          <w:szCs w:val="22"/>
        </w:rPr>
        <w:tab/>
      </w:r>
      <w:r w:rsidR="0032098F" w:rsidRPr="00977E83">
        <w:rPr>
          <w:rFonts w:ascii="Calibri" w:hAnsi="Calibri"/>
          <w:sz w:val="22"/>
          <w:szCs w:val="22"/>
        </w:rPr>
        <w:tab/>
      </w:r>
      <w:r w:rsidR="0032098F" w:rsidRPr="00977E83">
        <w:rPr>
          <w:rFonts w:ascii="Calibri" w:hAnsi="Calibri"/>
          <w:sz w:val="22"/>
          <w:szCs w:val="22"/>
        </w:rPr>
        <w:tab/>
      </w:r>
      <w:r w:rsidR="00977E83">
        <w:rPr>
          <w:rFonts w:ascii="Calibri" w:hAnsi="Calibri"/>
          <w:sz w:val="22"/>
          <w:szCs w:val="22"/>
        </w:rPr>
        <w:tab/>
      </w:r>
      <w:r w:rsidR="00FB3387">
        <w:rPr>
          <w:rFonts w:ascii="Calibri" w:hAnsi="Calibri"/>
          <w:sz w:val="22"/>
          <w:szCs w:val="22"/>
        </w:rPr>
        <w:t>Data: 26</w:t>
      </w:r>
      <w:r w:rsidR="00674023" w:rsidRPr="00977E83">
        <w:rPr>
          <w:rFonts w:ascii="Calibri" w:hAnsi="Calibri"/>
          <w:sz w:val="22"/>
          <w:szCs w:val="22"/>
        </w:rPr>
        <w:t>.11.2012</w:t>
      </w:r>
      <w:r w:rsidR="00E927CD" w:rsidRPr="00977E83">
        <w:rPr>
          <w:rFonts w:ascii="Calibri" w:hAnsi="Calibri"/>
          <w:sz w:val="22"/>
          <w:szCs w:val="22"/>
        </w:rPr>
        <w:t xml:space="preserve"> r.</w:t>
      </w:r>
    </w:p>
    <w:p w:rsidR="006E3442" w:rsidRPr="0050634D" w:rsidRDefault="006E3442" w:rsidP="00E927CD">
      <w:pPr>
        <w:jc w:val="both"/>
        <w:rPr>
          <w:rFonts w:ascii="Calibri" w:hAnsi="Calibri"/>
        </w:rPr>
      </w:pPr>
    </w:p>
    <w:p w:rsidR="00E927CD" w:rsidRPr="0050634D" w:rsidRDefault="00E927CD" w:rsidP="00E927CD">
      <w:pPr>
        <w:jc w:val="both"/>
        <w:rPr>
          <w:rFonts w:ascii="Calibri" w:hAnsi="Calibri"/>
        </w:rPr>
      </w:pPr>
    </w:p>
    <w:p w:rsidR="00ED2901" w:rsidRPr="00ED2901" w:rsidRDefault="00192A20" w:rsidP="00ED2901">
      <w:pPr>
        <w:ind w:left="851" w:hanging="851"/>
        <w:jc w:val="both"/>
        <w:rPr>
          <w:sz w:val="22"/>
          <w:szCs w:val="22"/>
          <w:u w:val="single"/>
        </w:rPr>
      </w:pPr>
      <w:r w:rsidRPr="00ED2901">
        <w:rPr>
          <w:rFonts w:ascii="Calibri" w:hAnsi="Calibri"/>
          <w:sz w:val="22"/>
          <w:szCs w:val="22"/>
        </w:rPr>
        <w:t xml:space="preserve">Dotyczy: </w:t>
      </w:r>
      <w:r w:rsidR="00AF3F34" w:rsidRPr="00ED2901">
        <w:rPr>
          <w:rFonts w:ascii="Calibri" w:hAnsi="Calibri"/>
          <w:sz w:val="22"/>
          <w:szCs w:val="22"/>
          <w:u w:val="single"/>
        </w:rPr>
        <w:t xml:space="preserve">postępowania o udzielenie zamówienia </w:t>
      </w:r>
      <w:r w:rsidR="001802FD" w:rsidRPr="00ED2901">
        <w:rPr>
          <w:rFonts w:ascii="Calibri" w:hAnsi="Calibri"/>
          <w:sz w:val="22"/>
          <w:szCs w:val="22"/>
          <w:u w:val="single"/>
        </w:rPr>
        <w:t xml:space="preserve">na ,,Zakup energii elektrycznej’’ </w:t>
      </w:r>
      <w:r w:rsidR="00ED2901" w:rsidRPr="00ED2901">
        <w:rPr>
          <w:rFonts w:ascii="Calibri" w:hAnsi="Calibri"/>
          <w:sz w:val="22"/>
          <w:szCs w:val="22"/>
          <w:u w:val="single"/>
        </w:rPr>
        <w:t>dotyczącego dostawy energii elektrycznej dla obiektów Gminy Rawa Mazowiecka w 2013 r.</w:t>
      </w:r>
    </w:p>
    <w:p w:rsidR="006E3442" w:rsidRPr="0050634D" w:rsidRDefault="006E3442" w:rsidP="001802FD">
      <w:pPr>
        <w:ind w:left="993" w:hanging="993"/>
        <w:jc w:val="both"/>
        <w:rPr>
          <w:rFonts w:ascii="Calibri" w:hAnsi="Calibri"/>
          <w:u w:val="single"/>
        </w:rPr>
      </w:pPr>
    </w:p>
    <w:p w:rsidR="00E927CD" w:rsidRPr="0050634D" w:rsidRDefault="00E927CD" w:rsidP="00E927CD">
      <w:pPr>
        <w:jc w:val="both"/>
        <w:rPr>
          <w:rFonts w:ascii="Calibri" w:hAnsi="Calibri"/>
          <w:u w:val="single"/>
        </w:rPr>
      </w:pPr>
    </w:p>
    <w:p w:rsidR="00E927CD" w:rsidRPr="00BD6DFA" w:rsidRDefault="00E927CD" w:rsidP="00E927CD">
      <w:pPr>
        <w:jc w:val="both"/>
        <w:rPr>
          <w:rFonts w:ascii="Calibri" w:eastAsiaTheme="minorHAnsi" w:hAnsi="Calibri" w:cs="TimesNewRomanPSMT"/>
          <w:sz w:val="22"/>
          <w:szCs w:val="22"/>
          <w:lang w:eastAsia="en-US"/>
        </w:rPr>
      </w:pPr>
      <w:r w:rsidRPr="0050634D">
        <w:rPr>
          <w:rFonts w:ascii="Calibri" w:eastAsiaTheme="minorHAnsi" w:hAnsi="Calibri" w:cs="TimesNewRomanPSMT"/>
          <w:lang w:eastAsia="en-US"/>
        </w:rPr>
        <w:tab/>
      </w:r>
      <w:r w:rsidR="00192A20" w:rsidRPr="00BD6DFA">
        <w:rPr>
          <w:rFonts w:ascii="Calibri" w:eastAsiaTheme="minorHAnsi" w:hAnsi="Calibri" w:cs="TimesNewRomanPSMT"/>
          <w:sz w:val="22"/>
          <w:szCs w:val="22"/>
          <w:lang w:eastAsia="en-US"/>
        </w:rPr>
        <w:t>Informujemy, że 22 listopada 2012 r. otrzymaliśmy pismo od jednego z Wykonawców  dotyczące wyjaśnienia treści specyfikacj</w:t>
      </w:r>
      <w:r w:rsidR="00F861BA" w:rsidRPr="00BD6DFA">
        <w:rPr>
          <w:rFonts w:ascii="Calibri" w:eastAsiaTheme="minorHAnsi" w:hAnsi="Calibri" w:cs="TimesNewRomanPSMT"/>
          <w:sz w:val="22"/>
          <w:szCs w:val="22"/>
          <w:lang w:eastAsia="en-US"/>
        </w:rPr>
        <w:t>i istotnych warunków zamówi</w:t>
      </w:r>
      <w:r w:rsidR="00ED39AB">
        <w:rPr>
          <w:rFonts w:ascii="Calibri" w:eastAsiaTheme="minorHAnsi" w:hAnsi="Calibri" w:cs="TimesNewRomanPSMT"/>
          <w:sz w:val="22"/>
          <w:szCs w:val="22"/>
          <w:lang w:eastAsia="en-US"/>
        </w:rPr>
        <w:t>enia</w:t>
      </w:r>
      <w:r w:rsidR="00192A20" w:rsidRPr="00BD6DFA">
        <w:rPr>
          <w:rFonts w:ascii="Calibri" w:eastAsiaTheme="minorHAnsi" w:hAnsi="Calibri" w:cs="TimesNewRomanPSMT"/>
          <w:sz w:val="22"/>
          <w:szCs w:val="22"/>
          <w:lang w:eastAsia="en-US"/>
        </w:rPr>
        <w:t>.</w:t>
      </w:r>
      <w:r w:rsidR="00F861BA" w:rsidRPr="00BD6DFA">
        <w:rPr>
          <w:rFonts w:ascii="Calibri" w:eastAsiaTheme="minorHAnsi" w:hAnsi="Calibri" w:cs="TimesNewRomanPSMT"/>
          <w:sz w:val="22"/>
          <w:szCs w:val="22"/>
          <w:lang w:eastAsia="en-US"/>
        </w:rPr>
        <w:t xml:space="preserve"> </w:t>
      </w:r>
      <w:r w:rsidR="00421005" w:rsidRPr="00BD6DFA">
        <w:rPr>
          <w:rFonts w:ascii="Calibri" w:eastAsiaTheme="minorHAnsi" w:hAnsi="Calibri" w:cs="TimesNewRomanPSMT"/>
          <w:sz w:val="22"/>
          <w:szCs w:val="22"/>
          <w:lang w:eastAsia="en-US"/>
        </w:rPr>
        <w:t>Na podstawie art. 38 ust. 2</w:t>
      </w:r>
      <w:r w:rsidRPr="00BD6DFA">
        <w:rPr>
          <w:rFonts w:ascii="Calibri" w:eastAsiaTheme="minorHAnsi" w:hAnsi="Calibri" w:cs="TimesNewRomanPSMT"/>
          <w:sz w:val="22"/>
          <w:szCs w:val="22"/>
          <w:lang w:eastAsia="en-US"/>
        </w:rPr>
        <w:t xml:space="preserve"> ustawy z dnia 29 stycznia 2004 r. Prawo zamówień publicznych </w:t>
      </w:r>
      <w:r w:rsidR="000A5859">
        <w:rPr>
          <w:rFonts w:ascii="Calibri" w:eastAsiaTheme="minorHAnsi" w:hAnsi="Calibri" w:cs="TimesNewRomanPSMT"/>
          <w:sz w:val="22"/>
          <w:szCs w:val="22"/>
          <w:lang w:eastAsia="en-US"/>
        </w:rPr>
        <w:t>przedstawiamy treść</w:t>
      </w:r>
      <w:r w:rsidR="00421005" w:rsidRPr="00BD6DFA">
        <w:rPr>
          <w:rFonts w:ascii="Calibri" w:eastAsiaTheme="minorHAnsi" w:hAnsi="Calibri" w:cs="TimesNewRomanPSMT"/>
          <w:sz w:val="22"/>
          <w:szCs w:val="22"/>
          <w:lang w:eastAsia="en-US"/>
        </w:rPr>
        <w:t xml:space="preserve"> zapytania wraz z wyjaśnieniami Zamawiającego</w:t>
      </w:r>
      <w:r w:rsidRPr="00BD6DFA">
        <w:rPr>
          <w:rFonts w:ascii="Calibri" w:eastAsiaTheme="minorHAnsi" w:hAnsi="Calibri" w:cs="TimesNewRomanPSMT"/>
          <w:sz w:val="22"/>
          <w:szCs w:val="22"/>
          <w:lang w:eastAsia="en-US"/>
        </w:rPr>
        <w:t>:</w:t>
      </w:r>
    </w:p>
    <w:p w:rsidR="00E927CD" w:rsidRPr="00BD6DFA" w:rsidRDefault="00E927CD" w:rsidP="00E927CD">
      <w:pPr>
        <w:jc w:val="both"/>
        <w:rPr>
          <w:sz w:val="22"/>
          <w:szCs w:val="22"/>
        </w:rPr>
      </w:pPr>
    </w:p>
    <w:p w:rsidR="00E927CD" w:rsidRPr="000D204A" w:rsidRDefault="00E927CD" w:rsidP="00E927CD">
      <w:pPr>
        <w:jc w:val="both"/>
        <w:rPr>
          <w:rFonts w:ascii="Calibri" w:hAnsi="Calibri"/>
          <w:b/>
          <w:sz w:val="22"/>
          <w:szCs w:val="22"/>
        </w:rPr>
      </w:pPr>
      <w:r w:rsidRPr="000D204A">
        <w:rPr>
          <w:rFonts w:ascii="Calibri" w:hAnsi="Calibri"/>
          <w:b/>
          <w:sz w:val="22"/>
          <w:szCs w:val="22"/>
        </w:rPr>
        <w:t>Treść zapytania:</w:t>
      </w:r>
    </w:p>
    <w:p w:rsidR="007B5CAA" w:rsidRPr="00BD6DFA" w:rsidRDefault="007B5CAA" w:rsidP="00E927CD">
      <w:pPr>
        <w:jc w:val="both"/>
        <w:rPr>
          <w:rFonts w:ascii="Calibri" w:hAnsi="Calibri"/>
          <w:sz w:val="22"/>
          <w:szCs w:val="22"/>
        </w:rPr>
      </w:pPr>
    </w:p>
    <w:p w:rsidR="00505A77" w:rsidRPr="00FA37C8" w:rsidRDefault="00E927CD" w:rsidP="00ED39AB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FA37C8">
        <w:rPr>
          <w:rFonts w:ascii="Calibri" w:hAnsi="Calibri"/>
          <w:b/>
          <w:sz w:val="22"/>
          <w:szCs w:val="22"/>
          <w:u w:val="single"/>
        </w:rPr>
        <w:t>Pytanie 1</w:t>
      </w:r>
      <w:r w:rsidR="00505A77" w:rsidRPr="00FA37C8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505A77" w:rsidRPr="002410CD" w:rsidRDefault="00ED39AB" w:rsidP="002E4A02">
      <w:pPr>
        <w:spacing w:after="120"/>
        <w:jc w:val="both"/>
        <w:rPr>
          <w:rFonts w:ascii="Calibri" w:hAnsi="Calibri"/>
          <w:i/>
          <w:sz w:val="22"/>
          <w:szCs w:val="22"/>
        </w:rPr>
      </w:pPr>
      <w:r w:rsidRPr="003F1C92">
        <w:rPr>
          <w:rFonts w:ascii="Calibri" w:hAnsi="Calibri"/>
          <w:i/>
          <w:sz w:val="22"/>
          <w:szCs w:val="22"/>
        </w:rPr>
        <w:t>Zwracamy się z prośbą o uwarunkowanie rozpoczęcia sprzedaży energii elektrycznej (par. 9 Wzoru umowy i odpowiednie zapisy SIWZ) od pozytywnego przeprowadzenia procesu zmiany sprzedawcy.</w:t>
      </w:r>
    </w:p>
    <w:p w:rsidR="00ED39AB" w:rsidRPr="00505A77" w:rsidRDefault="00ED39AB" w:rsidP="00505A77">
      <w:pPr>
        <w:jc w:val="both"/>
        <w:rPr>
          <w:rFonts w:ascii="Calibri" w:hAnsi="Calibri"/>
          <w:sz w:val="22"/>
          <w:szCs w:val="22"/>
        </w:rPr>
      </w:pPr>
      <w:r w:rsidRPr="00505A77">
        <w:rPr>
          <w:rFonts w:ascii="Calibri" w:hAnsi="Calibri" w:cs="Arial"/>
          <w:b/>
          <w:sz w:val="22"/>
          <w:szCs w:val="22"/>
        </w:rPr>
        <w:t>Odpowiedź na pytanie 1</w:t>
      </w:r>
    </w:p>
    <w:p w:rsidR="00ED39AB" w:rsidRDefault="00ED39AB" w:rsidP="00ED39AB">
      <w:pPr>
        <w:spacing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Zamiarem Zamawiającego jest rozpoczęcie realizacji sprzedaży energii przez nowego Wykonawcę od 1 stycznia 2013 r. i dlatego też obie strony umowy zarówno Wykonawca jaki i Zamawiający </w:t>
      </w:r>
      <w:r w:rsidR="00B77569">
        <w:rPr>
          <w:rFonts w:ascii="Calibri" w:hAnsi="Calibri" w:cs="Arial"/>
          <w:sz w:val="22"/>
          <w:szCs w:val="22"/>
        </w:rPr>
        <w:t xml:space="preserve">powinny </w:t>
      </w:r>
      <w:r>
        <w:rPr>
          <w:rFonts w:ascii="Calibri" w:hAnsi="Calibri" w:cs="Arial"/>
          <w:sz w:val="22"/>
          <w:szCs w:val="22"/>
        </w:rPr>
        <w:t xml:space="preserve">dochować należytej staranności w celu realizacji wspomnianego zamiaru. Jeśli jednak zajdą okoliczności, które uniemożliwią stronom umowy dotrzymanie ww. terminu rozpoczęcia sprzedaży energii pomimo dochowania przez nie należytej staranności np. z przyczyn  </w:t>
      </w:r>
      <w:r w:rsidRPr="004006B5">
        <w:rPr>
          <w:rFonts w:ascii="Calibri" w:hAnsi="Calibri" w:cs="Arial"/>
          <w:sz w:val="22"/>
          <w:szCs w:val="22"/>
        </w:rPr>
        <w:t>zależnych od</w:t>
      </w:r>
      <w:r>
        <w:rPr>
          <w:rFonts w:ascii="Calibri" w:hAnsi="Calibri" w:cs="Arial"/>
          <w:sz w:val="22"/>
          <w:szCs w:val="22"/>
        </w:rPr>
        <w:t xml:space="preserve"> Operatora Systemu Dystrybucyjnego oczywistą będzie konieczność zmiany terminu rozpoczęcia sprzedaży energii elektrycznej (patrz </w:t>
      </w:r>
      <w:r w:rsidRPr="004006B5">
        <w:rPr>
          <w:rFonts w:ascii="Calibri" w:hAnsi="Calibri" w:cs="Arial"/>
          <w:sz w:val="22"/>
          <w:szCs w:val="22"/>
        </w:rPr>
        <w:t>§9 ust. 3 umowy</w:t>
      </w:r>
      <w:r>
        <w:rPr>
          <w:rFonts w:ascii="Calibri" w:hAnsi="Calibri" w:cs="Arial"/>
          <w:sz w:val="22"/>
          <w:szCs w:val="22"/>
        </w:rPr>
        <w:t xml:space="preserve">).  </w:t>
      </w:r>
    </w:p>
    <w:p w:rsidR="009B02D3" w:rsidRPr="00BD6DFA" w:rsidRDefault="009B02D3" w:rsidP="00E927CD">
      <w:pPr>
        <w:jc w:val="both"/>
        <w:rPr>
          <w:rFonts w:ascii="Calibri" w:hAnsi="Calibri"/>
          <w:sz w:val="22"/>
          <w:szCs w:val="22"/>
        </w:rPr>
      </w:pPr>
    </w:p>
    <w:p w:rsidR="009B02D3" w:rsidRPr="00FA37C8" w:rsidRDefault="009B02D3" w:rsidP="00C37889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FA37C8">
        <w:rPr>
          <w:rFonts w:ascii="Calibri" w:hAnsi="Calibri"/>
          <w:b/>
          <w:sz w:val="22"/>
          <w:szCs w:val="22"/>
          <w:u w:val="single"/>
        </w:rPr>
        <w:t xml:space="preserve">Pytanie 2 </w:t>
      </w:r>
    </w:p>
    <w:p w:rsidR="002410CD" w:rsidRDefault="00F30880" w:rsidP="002E4A02">
      <w:pPr>
        <w:spacing w:after="120"/>
        <w:jc w:val="both"/>
        <w:rPr>
          <w:rFonts w:ascii="Calibri" w:hAnsi="Calibri"/>
          <w:i/>
          <w:sz w:val="22"/>
          <w:szCs w:val="22"/>
        </w:rPr>
      </w:pPr>
      <w:r w:rsidRPr="003F1C92">
        <w:rPr>
          <w:rFonts w:ascii="Calibri" w:hAnsi="Calibri"/>
          <w:i/>
          <w:sz w:val="22"/>
          <w:szCs w:val="22"/>
        </w:rPr>
        <w:t>Czy posiadają Państwo obecnie umowy kompleksowe czy rozdzielone umowy na sprzedaż i dystrybucję energii elektrycznej?  Czy procedura zmiany sprzedawcy przeprowadzana jest po raz pierwszy?</w:t>
      </w:r>
    </w:p>
    <w:p w:rsidR="004D4EB5" w:rsidRDefault="004D4EB5" w:rsidP="004D4EB5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BA7EC3">
        <w:rPr>
          <w:rFonts w:ascii="Calibri" w:hAnsi="Calibri" w:cs="Arial"/>
          <w:b/>
          <w:sz w:val="22"/>
          <w:szCs w:val="22"/>
        </w:rPr>
        <w:t>Odpowiedź na pytanie 2</w:t>
      </w:r>
    </w:p>
    <w:p w:rsidR="004D4EB5" w:rsidRDefault="004D4EB5" w:rsidP="002E4A02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AC3FD5">
        <w:rPr>
          <w:rFonts w:ascii="Calibri" w:hAnsi="Calibri" w:cs="Arial"/>
          <w:sz w:val="22"/>
          <w:szCs w:val="22"/>
        </w:rPr>
        <w:t>Postępowanie o udzielenie zamówienia publicznego na zakup energii elektrycznej do obiektów Gminy Rawa Mazowiecka prowadzone jest po raz drugi.</w:t>
      </w:r>
      <w:r>
        <w:rPr>
          <w:rFonts w:ascii="Calibri" w:hAnsi="Calibri" w:cs="Arial"/>
          <w:sz w:val="22"/>
          <w:szCs w:val="22"/>
        </w:rPr>
        <w:t xml:space="preserve"> Dla wszystkich obiektów, których dotyczy przedmiotowe postępowanie zawarte są oddzielne umowy na sprzed</w:t>
      </w:r>
      <w:r w:rsidR="00AE27B7">
        <w:rPr>
          <w:rFonts w:ascii="Calibri" w:hAnsi="Calibri" w:cs="Arial"/>
          <w:sz w:val="22"/>
          <w:szCs w:val="22"/>
        </w:rPr>
        <w:t>aż oraz</w:t>
      </w:r>
      <w:r>
        <w:rPr>
          <w:rFonts w:ascii="Calibri" w:hAnsi="Calibri" w:cs="Arial"/>
          <w:sz w:val="22"/>
          <w:szCs w:val="22"/>
        </w:rPr>
        <w:t xml:space="preserve"> na dystrybucję energii elektrycznej.</w:t>
      </w:r>
    </w:p>
    <w:p w:rsidR="00E248BF" w:rsidRDefault="00E248BF" w:rsidP="004D4EB5">
      <w:pPr>
        <w:spacing w:after="60"/>
        <w:jc w:val="both"/>
        <w:rPr>
          <w:rFonts w:ascii="Calibri" w:hAnsi="Calibri" w:cs="Arial"/>
          <w:sz w:val="22"/>
          <w:szCs w:val="22"/>
        </w:rPr>
      </w:pPr>
    </w:p>
    <w:p w:rsidR="00E248BF" w:rsidRDefault="00E248BF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E248BF">
        <w:rPr>
          <w:rFonts w:ascii="Calibri" w:hAnsi="Calibri" w:cs="Arial"/>
          <w:b/>
          <w:sz w:val="22"/>
          <w:szCs w:val="22"/>
          <w:u w:val="single"/>
        </w:rPr>
        <w:t>Pytanie 3</w:t>
      </w:r>
    </w:p>
    <w:p w:rsidR="00D25BEC" w:rsidRDefault="00D25BEC" w:rsidP="002E4A02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  <w:r w:rsidRPr="00D25BEC">
        <w:rPr>
          <w:rFonts w:ascii="Calibri" w:hAnsi="Calibri" w:cs="Arial"/>
          <w:i/>
          <w:sz w:val="22"/>
          <w:szCs w:val="22"/>
        </w:rPr>
        <w:t>Kto jest aktualnym sprzedawcą energii elektrycznej?</w:t>
      </w:r>
    </w:p>
    <w:p w:rsidR="00D25BEC" w:rsidRDefault="00D25BEC" w:rsidP="004D4EB5">
      <w:pPr>
        <w:spacing w:after="60"/>
        <w:jc w:val="both"/>
        <w:rPr>
          <w:rFonts w:ascii="Calibri" w:hAnsi="Calibri" w:cs="Arial"/>
          <w:b/>
          <w:sz w:val="22"/>
          <w:szCs w:val="22"/>
        </w:rPr>
      </w:pPr>
      <w:r w:rsidRPr="00BA7EC3">
        <w:rPr>
          <w:rFonts w:ascii="Calibri" w:hAnsi="Calibri" w:cs="Arial"/>
          <w:b/>
          <w:sz w:val="22"/>
          <w:szCs w:val="22"/>
        </w:rPr>
        <w:t xml:space="preserve">Odpowiedź na pytanie </w:t>
      </w:r>
      <w:r>
        <w:rPr>
          <w:rFonts w:ascii="Calibri" w:hAnsi="Calibri" w:cs="Arial"/>
          <w:b/>
          <w:sz w:val="22"/>
          <w:szCs w:val="22"/>
        </w:rPr>
        <w:t>3</w:t>
      </w:r>
    </w:p>
    <w:p w:rsidR="00D715F0" w:rsidRPr="00D25BEC" w:rsidRDefault="00D715F0" w:rsidP="004D4EB5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2831BE">
        <w:rPr>
          <w:rFonts w:ascii="Calibri" w:hAnsi="Calibri" w:cs="Arial"/>
          <w:sz w:val="22"/>
          <w:szCs w:val="22"/>
        </w:rPr>
        <w:t xml:space="preserve">Aktualnym </w:t>
      </w:r>
      <w:r>
        <w:rPr>
          <w:rFonts w:ascii="Calibri" w:hAnsi="Calibri" w:cs="Arial"/>
          <w:sz w:val="22"/>
          <w:szCs w:val="22"/>
        </w:rPr>
        <w:t>sprzedawcą energii do obiektów Gminy Rawa Mazowiecka jest PGE Obrót S.A.</w:t>
      </w:r>
    </w:p>
    <w:p w:rsidR="00D25BEC" w:rsidRDefault="00D25BEC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22F9C" w:rsidRDefault="00822F9C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22F9C" w:rsidRDefault="00822F9C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1A09C2" w:rsidRDefault="001A09C2" w:rsidP="001A09C2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E248BF">
        <w:rPr>
          <w:rFonts w:ascii="Calibri" w:hAnsi="Calibri" w:cs="Arial"/>
          <w:b/>
          <w:sz w:val="22"/>
          <w:szCs w:val="22"/>
          <w:u w:val="single"/>
        </w:rPr>
        <w:lastRenderedPageBreak/>
        <w:t xml:space="preserve">Pytanie </w:t>
      </w:r>
      <w:r>
        <w:rPr>
          <w:rFonts w:ascii="Calibri" w:hAnsi="Calibri" w:cs="Arial"/>
          <w:b/>
          <w:sz w:val="22"/>
          <w:szCs w:val="22"/>
          <w:u w:val="single"/>
        </w:rPr>
        <w:t>4</w:t>
      </w:r>
    </w:p>
    <w:p w:rsidR="00D715F0" w:rsidRPr="008F090E" w:rsidRDefault="001A09C2" w:rsidP="008F090E">
      <w:pPr>
        <w:spacing w:after="240"/>
        <w:jc w:val="both"/>
        <w:rPr>
          <w:rFonts w:ascii="Calibri" w:hAnsi="Calibri" w:cs="Arial"/>
          <w:i/>
          <w:sz w:val="22"/>
          <w:szCs w:val="22"/>
        </w:rPr>
      </w:pPr>
      <w:r w:rsidRPr="001A09C2">
        <w:rPr>
          <w:rFonts w:ascii="Calibri" w:hAnsi="Calibri" w:cs="Arial"/>
          <w:i/>
          <w:sz w:val="22"/>
          <w:szCs w:val="22"/>
        </w:rPr>
        <w:t>Czy obecnie obowiązujące umowy zawarte są na czas nieokreślony czy na czas określony? Jaki jest okres wypowiedzenia umów?</w:t>
      </w:r>
    </w:p>
    <w:p w:rsidR="00D715F0" w:rsidRDefault="008F090E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Umowa na sprzedaż energii zawarta jest na czas określony do 31 grudnia 2012 r.</w:t>
      </w:r>
    </w:p>
    <w:p w:rsidR="00D715F0" w:rsidRDefault="00D715F0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D715F0" w:rsidRPr="00E248BF" w:rsidRDefault="00D715F0" w:rsidP="004D4EB5">
      <w:pPr>
        <w:spacing w:after="60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C53F22" w:rsidRPr="00C53F22" w:rsidRDefault="00C53F22" w:rsidP="00C3768A">
      <w:pPr>
        <w:spacing w:after="120"/>
        <w:jc w:val="both"/>
        <w:rPr>
          <w:rFonts w:ascii="Calibri" w:hAnsi="Calibri"/>
          <w:sz w:val="22"/>
          <w:szCs w:val="22"/>
        </w:rPr>
      </w:pPr>
    </w:p>
    <w:p w:rsidR="00F30880" w:rsidRDefault="003F1C92" w:rsidP="00C3768A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:rsidR="00F30880" w:rsidRPr="00F30880" w:rsidRDefault="00F30880" w:rsidP="00C3768A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571D2A" w:rsidRDefault="00FB3387"/>
    <w:sectPr w:rsidR="00571D2A" w:rsidSect="0080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DE0"/>
    <w:multiLevelType w:val="hybridMultilevel"/>
    <w:tmpl w:val="2C88B2D6"/>
    <w:lvl w:ilvl="0" w:tplc="FF1A474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708AA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27CD"/>
    <w:rsid w:val="0000264B"/>
    <w:rsid w:val="00007DEA"/>
    <w:rsid w:val="000161D5"/>
    <w:rsid w:val="00022F59"/>
    <w:rsid w:val="000A5859"/>
    <w:rsid w:val="000D204A"/>
    <w:rsid w:val="000E48BE"/>
    <w:rsid w:val="00111EED"/>
    <w:rsid w:val="001164C7"/>
    <w:rsid w:val="0013606D"/>
    <w:rsid w:val="001802FD"/>
    <w:rsid w:val="00192A20"/>
    <w:rsid w:val="001A09C2"/>
    <w:rsid w:val="001A1531"/>
    <w:rsid w:val="001F7582"/>
    <w:rsid w:val="002410CD"/>
    <w:rsid w:val="002816D4"/>
    <w:rsid w:val="00286836"/>
    <w:rsid w:val="00287FF8"/>
    <w:rsid w:val="002925A0"/>
    <w:rsid w:val="002C59B6"/>
    <w:rsid w:val="002D728C"/>
    <w:rsid w:val="002E4A02"/>
    <w:rsid w:val="002F3054"/>
    <w:rsid w:val="003138D5"/>
    <w:rsid w:val="0032098F"/>
    <w:rsid w:val="00332A5F"/>
    <w:rsid w:val="00352334"/>
    <w:rsid w:val="003E257C"/>
    <w:rsid w:val="003F1C92"/>
    <w:rsid w:val="0041463E"/>
    <w:rsid w:val="00421005"/>
    <w:rsid w:val="0043033F"/>
    <w:rsid w:val="004341E5"/>
    <w:rsid w:val="00455FB4"/>
    <w:rsid w:val="00475271"/>
    <w:rsid w:val="004D4EB5"/>
    <w:rsid w:val="004E1012"/>
    <w:rsid w:val="004F113C"/>
    <w:rsid w:val="004F63D5"/>
    <w:rsid w:val="00505A77"/>
    <w:rsid w:val="0050634D"/>
    <w:rsid w:val="00570262"/>
    <w:rsid w:val="00580D5D"/>
    <w:rsid w:val="005A3841"/>
    <w:rsid w:val="006449F4"/>
    <w:rsid w:val="00644F46"/>
    <w:rsid w:val="00674023"/>
    <w:rsid w:val="006C7642"/>
    <w:rsid w:val="006D265F"/>
    <w:rsid w:val="006E19A2"/>
    <w:rsid w:val="006E3442"/>
    <w:rsid w:val="007046FC"/>
    <w:rsid w:val="00717907"/>
    <w:rsid w:val="00726F3B"/>
    <w:rsid w:val="00757292"/>
    <w:rsid w:val="0079128C"/>
    <w:rsid w:val="007914D1"/>
    <w:rsid w:val="007B5CAA"/>
    <w:rsid w:val="007C5DAE"/>
    <w:rsid w:val="007D3B9D"/>
    <w:rsid w:val="007D5D31"/>
    <w:rsid w:val="007E683B"/>
    <w:rsid w:val="00800E43"/>
    <w:rsid w:val="00822F9C"/>
    <w:rsid w:val="00833590"/>
    <w:rsid w:val="008366CF"/>
    <w:rsid w:val="0087503F"/>
    <w:rsid w:val="00891F4C"/>
    <w:rsid w:val="008F090E"/>
    <w:rsid w:val="008F636D"/>
    <w:rsid w:val="009032EB"/>
    <w:rsid w:val="0094387B"/>
    <w:rsid w:val="00972CF5"/>
    <w:rsid w:val="00977E83"/>
    <w:rsid w:val="00992F15"/>
    <w:rsid w:val="009B02D3"/>
    <w:rsid w:val="009E6BFE"/>
    <w:rsid w:val="00A26742"/>
    <w:rsid w:val="00A52EE6"/>
    <w:rsid w:val="00A624EE"/>
    <w:rsid w:val="00A657A1"/>
    <w:rsid w:val="00A86206"/>
    <w:rsid w:val="00A94073"/>
    <w:rsid w:val="00A947C9"/>
    <w:rsid w:val="00AB69BE"/>
    <w:rsid w:val="00AC26D2"/>
    <w:rsid w:val="00AC71F6"/>
    <w:rsid w:val="00AD7F2D"/>
    <w:rsid w:val="00AE27B7"/>
    <w:rsid w:val="00AF3F34"/>
    <w:rsid w:val="00AF5880"/>
    <w:rsid w:val="00B77569"/>
    <w:rsid w:val="00B80B65"/>
    <w:rsid w:val="00BA7400"/>
    <w:rsid w:val="00BD6DFA"/>
    <w:rsid w:val="00BF221E"/>
    <w:rsid w:val="00C042A1"/>
    <w:rsid w:val="00C27FAB"/>
    <w:rsid w:val="00C3768A"/>
    <w:rsid w:val="00C37889"/>
    <w:rsid w:val="00C53F22"/>
    <w:rsid w:val="00C72610"/>
    <w:rsid w:val="00C8657E"/>
    <w:rsid w:val="00C86E8B"/>
    <w:rsid w:val="00C978F6"/>
    <w:rsid w:val="00CB2B09"/>
    <w:rsid w:val="00CD33EF"/>
    <w:rsid w:val="00CF6B1C"/>
    <w:rsid w:val="00CF6B6A"/>
    <w:rsid w:val="00D03C33"/>
    <w:rsid w:val="00D1303C"/>
    <w:rsid w:val="00D23281"/>
    <w:rsid w:val="00D25BEC"/>
    <w:rsid w:val="00D33241"/>
    <w:rsid w:val="00D41FCE"/>
    <w:rsid w:val="00D52E10"/>
    <w:rsid w:val="00D715F0"/>
    <w:rsid w:val="00E14574"/>
    <w:rsid w:val="00E248BF"/>
    <w:rsid w:val="00E30363"/>
    <w:rsid w:val="00E60082"/>
    <w:rsid w:val="00E63D79"/>
    <w:rsid w:val="00E927CD"/>
    <w:rsid w:val="00E9405F"/>
    <w:rsid w:val="00EB07CE"/>
    <w:rsid w:val="00EC31F3"/>
    <w:rsid w:val="00ED2901"/>
    <w:rsid w:val="00ED39AB"/>
    <w:rsid w:val="00ED413B"/>
    <w:rsid w:val="00EE0DC3"/>
    <w:rsid w:val="00F30880"/>
    <w:rsid w:val="00F350E9"/>
    <w:rsid w:val="00F362AC"/>
    <w:rsid w:val="00F54811"/>
    <w:rsid w:val="00F54898"/>
    <w:rsid w:val="00F861BA"/>
    <w:rsid w:val="00FA37C8"/>
    <w:rsid w:val="00FB3387"/>
    <w:rsid w:val="00FE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7CD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36D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kobyleckim</dc:creator>
  <cp:keywords/>
  <dc:description/>
  <cp:lastModifiedBy>kobyleckim</cp:lastModifiedBy>
  <cp:revision>33</cp:revision>
  <cp:lastPrinted>2012-11-26T13:31:00Z</cp:lastPrinted>
  <dcterms:created xsi:type="dcterms:W3CDTF">2012-11-26T12:15:00Z</dcterms:created>
  <dcterms:modified xsi:type="dcterms:W3CDTF">2012-11-26T13:32:00Z</dcterms:modified>
</cp:coreProperties>
</file>